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90" w:rsidRPr="00DC1890" w:rsidRDefault="00DC1890" w:rsidP="00DC1890">
      <w:pPr>
        <w:spacing w:after="0"/>
        <w:rPr>
          <w:b/>
          <w:sz w:val="28"/>
          <w:szCs w:val="28"/>
          <w:u w:val="single"/>
        </w:rPr>
      </w:pPr>
      <w:r w:rsidRPr="00DC1890">
        <w:rPr>
          <w:b/>
          <w:sz w:val="28"/>
          <w:szCs w:val="28"/>
          <w:u w:val="single"/>
        </w:rPr>
        <w:t>Vysvětlující poznámky k základní informaci o situaci s niklovou slitinou</w:t>
      </w:r>
    </w:p>
    <w:p w:rsidR="00DC1890" w:rsidRDefault="00DC1890" w:rsidP="00DC1890">
      <w:pPr>
        <w:spacing w:after="0"/>
      </w:pPr>
    </w:p>
    <w:p w:rsidR="00DC1890" w:rsidRPr="00DC1890" w:rsidRDefault="00DC1890" w:rsidP="00DC1890">
      <w:pPr>
        <w:spacing w:after="80"/>
      </w:pPr>
      <w:r w:rsidRPr="00DC1890">
        <w:t xml:space="preserve">a) na našem webu je zveřejněn </w:t>
      </w:r>
      <w:r w:rsidRPr="00DC1890">
        <w:rPr>
          <w:u w:val="single"/>
        </w:rPr>
        <w:t>registr slitin</w:t>
      </w:r>
      <w:r w:rsidRPr="00DC1890">
        <w:t xml:space="preserve">, který </w:t>
      </w:r>
      <w:r w:rsidRPr="00DC1890">
        <w:rPr>
          <w:u w:val="single"/>
        </w:rPr>
        <w:t>s normou popisující hodnocení množství niklu uvolňovaného při styku s lidskými tkáněmi nijak nesouvisí</w:t>
      </w:r>
      <w:r w:rsidRPr="00DC1890">
        <w:t>. Do registru jsou zařazovány i slitiny, které (by) testem neprošly – mohou být používány na výrobu jiného zboží, např. kravatových spon nebo svícnů;</w:t>
      </w:r>
    </w:p>
    <w:p w:rsidR="00DC1890" w:rsidRPr="00DC1890" w:rsidRDefault="00DC1890" w:rsidP="00DC1890">
      <w:pPr>
        <w:spacing w:after="80"/>
      </w:pPr>
      <w:r w:rsidRPr="00DC1890">
        <w:t xml:space="preserve">b) tabulku, která obsahuje slitiny, k nimž máme informace o uvolňování Ni, jsme do zveřejněného textu umístili proto, aby si mohli zlatníci udělat přibližnou představu, jak se projeví určité složení slitiny (to je vidět především v registru, a v případě neregistrovaných slitin lze </w:t>
      </w:r>
      <w:r>
        <w:t xml:space="preserve">složení </w:t>
      </w:r>
      <w:r w:rsidRPr="00DC1890">
        <w:t xml:space="preserve">získat od výrobce) na výsledku testů. Použity jsou výsledky z více zdrojů. Tabulka </w:t>
      </w:r>
      <w:r w:rsidRPr="00DC1890">
        <w:rPr>
          <w:u w:val="single"/>
        </w:rPr>
        <w:t>v žádném případě nenahrazuje certifikát o shodě!</w:t>
      </w:r>
      <w:r w:rsidRPr="00DC1890">
        <w:t>;</w:t>
      </w:r>
    </w:p>
    <w:p w:rsidR="00DC1890" w:rsidRPr="00DC1890" w:rsidRDefault="00DC1890" w:rsidP="00DC1890">
      <w:pPr>
        <w:spacing w:after="80"/>
      </w:pPr>
      <w:r w:rsidRPr="00DC1890">
        <w:t xml:space="preserve">c) jak je jednoznačně uvedeno v informačním textu (první odstavec oddílu Přístup PÚ k nové situaci), </w:t>
      </w:r>
      <w:r w:rsidRPr="00DC1890">
        <w:rPr>
          <w:u w:val="single"/>
        </w:rPr>
        <w:t>potvrzení o shodě si musí opatřit prodejce sám</w:t>
      </w:r>
      <w:r w:rsidRPr="00DC1890">
        <w:t xml:space="preserve">, a to buď </w:t>
      </w:r>
      <w:r w:rsidRPr="00DC1890">
        <w:rPr>
          <w:u w:val="single"/>
        </w:rPr>
        <w:t>od dodavatele</w:t>
      </w:r>
      <w:r w:rsidRPr="00DC1890">
        <w:t xml:space="preserve"> (je jedno zda slitiny nebo celého zboží) nebo </w:t>
      </w:r>
      <w:r w:rsidRPr="00DC1890">
        <w:rPr>
          <w:u w:val="single"/>
        </w:rPr>
        <w:t>od certifikovaného pracoviště</w:t>
      </w:r>
      <w:r w:rsidRPr="00DC1890">
        <w:t>. Je v zájmu dodavatele, aby měl pro určitou slitinu nebo pro určitý typ výrobku připraveno potvrzení o shodě, jehož kopii může svým zákazníkům poskytovat;</w:t>
      </w:r>
    </w:p>
    <w:p w:rsidR="00DC1890" w:rsidRPr="00DC1890" w:rsidRDefault="00DC1890" w:rsidP="00DC1890">
      <w:pPr>
        <w:spacing w:after="80"/>
      </w:pPr>
      <w:r w:rsidRPr="00DC1890">
        <w:t xml:space="preserve">d) </w:t>
      </w:r>
      <w:r w:rsidRPr="00DC1890">
        <w:rPr>
          <w:u w:val="single"/>
        </w:rPr>
        <w:t>kopii dokladu</w:t>
      </w:r>
      <w:r w:rsidRPr="00DC1890">
        <w:t xml:space="preserve"> pak </w:t>
      </w:r>
      <w:r w:rsidRPr="00DC1890">
        <w:rPr>
          <w:u w:val="single"/>
        </w:rPr>
        <w:t>předloží</w:t>
      </w:r>
      <w:r w:rsidRPr="00DC1890">
        <w:t xml:space="preserve"> prodejce při kontrole </w:t>
      </w:r>
      <w:r w:rsidRPr="00DC1890">
        <w:rPr>
          <w:u w:val="single"/>
        </w:rPr>
        <w:t>inspektorovi</w:t>
      </w:r>
      <w:r w:rsidRPr="00DC1890">
        <w:t xml:space="preserve">, který může přijít </w:t>
      </w:r>
      <w:r>
        <w:t xml:space="preserve">především </w:t>
      </w:r>
      <w:r w:rsidRPr="00DC1890">
        <w:t>z České inspekce životního prostředí;</w:t>
      </w:r>
    </w:p>
    <w:p w:rsidR="00DC1890" w:rsidRPr="00DC1890" w:rsidRDefault="00DC1890" w:rsidP="00DC1890">
      <w:pPr>
        <w:spacing w:after="80"/>
      </w:pPr>
      <w:r w:rsidRPr="00DC1890">
        <w:t xml:space="preserve">e) </w:t>
      </w:r>
      <w:r w:rsidRPr="00DC1890">
        <w:rPr>
          <w:u w:val="single"/>
        </w:rPr>
        <w:t>Puncovní úřad</w:t>
      </w:r>
      <w:r w:rsidRPr="00DC1890">
        <w:t xml:space="preserve"> pro současnost neobnovil kvůli úsporám na nákladech akreditaci metody na stanovení uvolněného niklu pro svoje laboratoře, a tuto metodu používá pouze pro svoji</w:t>
      </w:r>
      <w:r w:rsidR="008E7F2B">
        <w:t xml:space="preserve"> vlastní informaci.</w:t>
      </w:r>
      <w:r w:rsidRPr="00DC1890">
        <w:t xml:space="preserve"> </w:t>
      </w:r>
      <w:r w:rsidR="008E7F2B">
        <w:t>T</w:t>
      </w:r>
      <w:bookmarkStart w:id="0" w:name="_GoBack"/>
      <w:bookmarkEnd w:id="0"/>
      <w:r w:rsidRPr="00DC1890">
        <w:t xml:space="preserve">edy </w:t>
      </w:r>
      <w:r w:rsidRPr="00DC1890">
        <w:rPr>
          <w:u w:val="single"/>
        </w:rPr>
        <w:t>certifikát neposkytuje</w:t>
      </w:r>
      <w:r w:rsidRPr="00DC1890">
        <w:t>;</w:t>
      </w:r>
    </w:p>
    <w:p w:rsidR="00DC1890" w:rsidRPr="00DC1890" w:rsidRDefault="00DC1890" w:rsidP="00DC1890">
      <w:pPr>
        <w:spacing w:after="80"/>
      </w:pPr>
      <w:r w:rsidRPr="00DC1890">
        <w:t xml:space="preserve">f) </w:t>
      </w:r>
      <w:r w:rsidRPr="00DC1890">
        <w:rPr>
          <w:u w:val="single"/>
        </w:rPr>
        <w:t>puncovní značka</w:t>
      </w:r>
      <w:r w:rsidRPr="00DC1890">
        <w:t xml:space="preserve"> znamená podle puncovního zákona </w:t>
      </w:r>
      <w:r w:rsidRPr="00DC1890">
        <w:rPr>
          <w:u w:val="single"/>
        </w:rPr>
        <w:t>garanci ryzosti</w:t>
      </w:r>
      <w:r w:rsidRPr="00DC1890">
        <w:t xml:space="preserve">. </w:t>
      </w:r>
      <w:r w:rsidRPr="00DC1890">
        <w:rPr>
          <w:u w:val="single"/>
        </w:rPr>
        <w:t>Nevypovídá nic o</w:t>
      </w:r>
      <w:r w:rsidRPr="00DC1890">
        <w:t xml:space="preserve"> dalším </w:t>
      </w:r>
      <w:r w:rsidRPr="00DC1890">
        <w:rPr>
          <w:u w:val="single"/>
        </w:rPr>
        <w:t>složení slitiny</w:t>
      </w:r>
      <w:r w:rsidRPr="00DC1890">
        <w:t>, tedy ani o obsahu niklu nebo o rychlosti jeho uvolňování;</w:t>
      </w:r>
    </w:p>
    <w:p w:rsidR="00DC1890" w:rsidRPr="00DC1890" w:rsidRDefault="00DC1890" w:rsidP="00DC1890">
      <w:pPr>
        <w:spacing w:after="80"/>
      </w:pPr>
      <w:r w:rsidRPr="00DC1890">
        <w:t xml:space="preserve">g) </w:t>
      </w:r>
      <w:r w:rsidRPr="00DC1890">
        <w:rPr>
          <w:u w:val="single"/>
        </w:rPr>
        <w:t>rozdělení působnosti</w:t>
      </w:r>
      <w:r w:rsidRPr="00DC1890">
        <w:t xml:space="preserve"> v této věci mezi puncovní úřady a další instituce </w:t>
      </w:r>
      <w:r w:rsidRPr="00DC1890">
        <w:rPr>
          <w:u w:val="single"/>
        </w:rPr>
        <w:t>je praxe obvyklá</w:t>
      </w:r>
      <w:r w:rsidRPr="00DC1890">
        <w:t xml:space="preserve"> v drtivé většině států s puncovním systémem. </w:t>
      </w:r>
      <w:r w:rsidRPr="00DC1890">
        <w:rPr>
          <w:u w:val="single"/>
        </w:rPr>
        <w:t>Puncovní úřady</w:t>
      </w:r>
      <w:r w:rsidRPr="00DC1890">
        <w:t xml:space="preserve"> kontrolují </w:t>
      </w:r>
      <w:r w:rsidRPr="00DC1890">
        <w:rPr>
          <w:u w:val="single"/>
        </w:rPr>
        <w:t>ryzost</w:t>
      </w:r>
      <w:r w:rsidRPr="00DC1890">
        <w:t xml:space="preserve"> (ekonomická stránka věci)</w:t>
      </w:r>
      <w:r>
        <w:t>, zatímco</w:t>
      </w:r>
      <w:r w:rsidRPr="00DC1890">
        <w:t xml:space="preserve"> zdravotnické a </w:t>
      </w:r>
      <w:r w:rsidRPr="00DC1890">
        <w:rPr>
          <w:u w:val="single"/>
        </w:rPr>
        <w:t>hygienické instituce</w:t>
      </w:r>
      <w:r w:rsidRPr="00DC1890">
        <w:t xml:space="preserve"> sledují vliv výrobků na </w:t>
      </w:r>
      <w:r w:rsidRPr="00DC1890">
        <w:rPr>
          <w:u w:val="single"/>
        </w:rPr>
        <w:t>zdraví občanů</w:t>
      </w:r>
      <w:r w:rsidRPr="00DC1890">
        <w:t>;</w:t>
      </w:r>
    </w:p>
    <w:p w:rsidR="00DC1890" w:rsidRPr="00DC1890" w:rsidRDefault="00DC1890" w:rsidP="00DC1890">
      <w:pPr>
        <w:spacing w:after="80"/>
      </w:pPr>
      <w:r w:rsidRPr="00DC1890">
        <w:t>h</w:t>
      </w:r>
      <w:r w:rsidRPr="00DC1890">
        <w:rPr>
          <w:u w:val="single"/>
        </w:rPr>
        <w:t>) nemáme žádnou</w:t>
      </w:r>
      <w:r w:rsidRPr="00DC1890">
        <w:t xml:space="preserve"> hodnověrnou </w:t>
      </w:r>
      <w:r w:rsidRPr="00DC1890">
        <w:rPr>
          <w:u w:val="single"/>
        </w:rPr>
        <w:t>informaci</w:t>
      </w:r>
      <w:r w:rsidRPr="00DC1890">
        <w:t xml:space="preserve"> o tom, </w:t>
      </w:r>
      <w:r w:rsidRPr="00DC1890">
        <w:rPr>
          <w:u w:val="single"/>
        </w:rPr>
        <w:t>že by</w:t>
      </w:r>
      <w:r w:rsidRPr="00DC1890">
        <w:t xml:space="preserve"> kterákoli </w:t>
      </w:r>
      <w:r w:rsidRPr="00DC1890">
        <w:rPr>
          <w:u w:val="single"/>
        </w:rPr>
        <w:t>slitina zlata s obsahem niklu způsobila niklovou alergii</w:t>
      </w:r>
      <w:r w:rsidRPr="00DC1890">
        <w:t>;</w:t>
      </w:r>
    </w:p>
    <w:p w:rsidR="00DC1890" w:rsidRPr="00DC1890" w:rsidRDefault="00DC1890" w:rsidP="00DC1890">
      <w:pPr>
        <w:spacing w:after="80"/>
      </w:pPr>
      <w:r w:rsidRPr="00DC1890">
        <w:t xml:space="preserve">i) </w:t>
      </w:r>
      <w:r w:rsidRPr="00DC1890">
        <w:rPr>
          <w:u w:val="single"/>
        </w:rPr>
        <w:t>Puncovní úřad</w:t>
      </w:r>
      <w:r w:rsidRPr="00DC1890">
        <w:t xml:space="preserve"> </w:t>
      </w:r>
      <w:r w:rsidRPr="00DC1890">
        <w:rPr>
          <w:u w:val="single"/>
        </w:rPr>
        <w:t>nemá</w:t>
      </w:r>
      <w:r w:rsidRPr="00DC1890">
        <w:t xml:space="preserve"> v legislativě zakotveno </w:t>
      </w:r>
      <w:r w:rsidRPr="00DC1890">
        <w:rPr>
          <w:u w:val="single"/>
        </w:rPr>
        <w:t>oprávnění nutit dodavatele, aby poskytoval</w:t>
      </w:r>
      <w:r w:rsidRPr="00DC1890">
        <w:t xml:space="preserve"> svým odběratelům </w:t>
      </w:r>
      <w:r w:rsidRPr="00DC1890">
        <w:rPr>
          <w:u w:val="single"/>
        </w:rPr>
        <w:t>prohlášení</w:t>
      </w:r>
      <w:r w:rsidRPr="00DC1890">
        <w:t xml:space="preserve"> o shodě, musí to být věcí dohody mezi těmito dvěma partnery.</w:t>
      </w:r>
    </w:p>
    <w:p w:rsidR="00DA6FC1" w:rsidRDefault="00DA6FC1" w:rsidP="006B1027">
      <w:pPr>
        <w:spacing w:after="0"/>
      </w:pPr>
    </w:p>
    <w:p w:rsidR="00DC1890" w:rsidRDefault="00DC1890" w:rsidP="006B1027">
      <w:pPr>
        <w:spacing w:after="0"/>
      </w:pPr>
      <w:r>
        <w:t>PÚ 15. října 2013, M. Pilecký</w:t>
      </w:r>
    </w:p>
    <w:sectPr w:rsidR="00DC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90"/>
    <w:rsid w:val="006B1027"/>
    <w:rsid w:val="008E7F2B"/>
    <w:rsid w:val="00DA6FC1"/>
    <w:rsid w:val="00D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Miloslav Pilecký</dc:creator>
  <cp:lastModifiedBy>Ing. Miloslav Pilecký</cp:lastModifiedBy>
  <cp:revision>2</cp:revision>
  <dcterms:created xsi:type="dcterms:W3CDTF">2013-10-15T15:17:00Z</dcterms:created>
  <dcterms:modified xsi:type="dcterms:W3CDTF">2013-10-15T15:34:00Z</dcterms:modified>
</cp:coreProperties>
</file>